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ascii="Arial" w:hAnsi="Arial"/>
          <w:b/>
          <w:i/>
          <w:sz w:val="28"/>
        </w:rPr>
      </w:pPr>
      <w:bookmarkStart w:id="0" w:name="_Toc193024528"/>
      <w:r>
        <w:rPr>
          <w:rFonts w:ascii="Arial" w:hAnsi="Arial"/>
          <w:b/>
          <w:sz w:val="24"/>
        </w:rPr>
        <w:t>3GPP TSG-RAN3 Meeting #122</w:t>
      </w:r>
      <w:r>
        <w:rPr>
          <w:rFonts w:ascii="Arial" w:hAnsi="Arial"/>
          <w:b/>
          <w:i/>
          <w:sz w:val="28"/>
        </w:rPr>
        <w:tab/>
      </w:r>
      <w:bookmarkStart w:id="1" w:name="_GoBack"/>
      <w:bookmarkEnd w:id="1"/>
      <w:r>
        <w:rPr>
          <w:rFonts w:hint="eastAsia" w:ascii="Arial" w:hAnsi="Arial"/>
          <w:b/>
          <w:sz w:val="28"/>
          <w:lang w:eastAsia="zh-CN"/>
        </w:rPr>
        <w:t>R3-237202</w:t>
      </w:r>
    </w:p>
    <w:p>
      <w:pPr>
        <w:pStyle w:val="67"/>
        <w:keepNext w:val="0"/>
        <w:keepLines w:val="0"/>
        <w:pageBreakBefore w:val="0"/>
        <w:widowControl/>
        <w:kinsoku/>
        <w:wordWrap/>
        <w:topLinePunct w:val="0"/>
        <w:bidi w:val="0"/>
        <w:snapToGrid/>
        <w:spacing w:line="260" w:lineRule="auto"/>
        <w:outlineLvl w:val="9"/>
        <w:rPr>
          <w:rFonts w:cs="Arial"/>
          <w:b/>
          <w:sz w:val="24"/>
          <w:szCs w:val="24"/>
        </w:rPr>
      </w:pPr>
      <w:r>
        <w:rPr>
          <w:b/>
          <w:sz w:val="24"/>
        </w:rPr>
        <w:t>Chicago, US, 13-17 Nov,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sz w:val="21"/>
          <w:szCs w:val="21"/>
          <w:lang w:val="en-US" w:eastAsia="zh-CN"/>
        </w:rPr>
      </w:pPr>
      <w:r>
        <w:rPr>
          <w:rFonts w:hint="eastAsia" w:ascii="Times New Roman" w:hAnsi="Times New Roman" w:cs="Times New Roman"/>
          <w:lang w:val="en-US" w:eastAsia="zh-CN"/>
        </w:rPr>
        <w:t>During RAN</w:t>
      </w:r>
      <w:r>
        <w:rPr>
          <w:rFonts w:hint="eastAsia" w:cs="Times New Roman"/>
          <w:lang w:val="en-US" w:eastAsia="zh-CN"/>
        </w:rPr>
        <w:t>3#119bis-e meeting</w:t>
      </w:r>
      <w:r>
        <w:rPr>
          <w:rFonts w:hint="eastAsia" w:ascii="Times New Roman" w:hAnsi="Times New Roman" w:cs="Times New Roman"/>
          <w:lang w:val="en-US" w:eastAsia="zh-CN"/>
        </w:rPr>
        <w:t xml:space="preserve">, </w:t>
      </w:r>
      <w:r>
        <w:rPr>
          <w:rFonts w:hint="eastAsia" w:cs="Times New Roman"/>
          <w:lang w:val="en-US" w:eastAsia="zh-CN"/>
        </w:rPr>
        <w:t xml:space="preserve">the avoidance of PCI collision was discussed and some open issues were identified to be further discussed. In this contribution, we will discuss how to avoid PCI collision and give our analysis on the potential enhancements. </w:t>
      </w:r>
    </w:p>
    <w:p>
      <w:pPr>
        <w:pStyle w:val="2"/>
        <w:jc w:val="both"/>
        <w:rPr>
          <w:lang w:eastAsia="zh-CN"/>
        </w:rPr>
      </w:pPr>
      <w:r>
        <w:rPr>
          <w:rFonts w:hint="eastAsia" w:eastAsia="宋体"/>
          <w:lang w:eastAsia="zh-CN"/>
        </w:rPr>
        <w:t>Discussion</w:t>
      </w:r>
    </w:p>
    <w:p>
      <w:pPr>
        <w:rPr>
          <w:lang w:eastAsia="zh-CN"/>
        </w:rPr>
      </w:pPr>
      <w:r>
        <w:rPr>
          <w:rFonts w:hint="eastAsia"/>
          <w:lang w:val="en-US" w:eastAsia="zh-CN"/>
        </w:rPr>
        <w:t>The PCI of mobile IAB-DU cell may collide with other cells due to the movement of mobile IAB-MT. That means PCI collision may occur during mIAB node migration. As we know,</w:t>
      </w:r>
      <w:r>
        <w:rPr>
          <w:rFonts w:hint="eastAsia"/>
          <w:lang w:eastAsia="zh-CN"/>
        </w:rPr>
        <w:t xml:space="preserve"> one of the objectives of R18 IAB WI is to avoid potential reference and control signal collisions. That means the PCI collision needs to be predicted in advance so that it can be avoided rather than detected after the PCI collsion occurs.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pStyle w:val="129"/>
              <w:numPr>
                <w:ilvl w:val="0"/>
                <w:numId w:val="13"/>
              </w:numPr>
              <w:spacing w:line="240" w:lineRule="auto"/>
              <w:ind w:firstLineChars="0"/>
              <w:rPr>
                <w:lang w:eastAsia="zh-CN"/>
              </w:rPr>
            </w:pPr>
            <w:r>
              <w:rPr>
                <w:rFonts w:eastAsia="Times New Roman" w:cs="Times New Roman"/>
                <w:sz w:val="20"/>
                <w:szCs w:val="20"/>
                <w:lang w:eastAsia="en-US"/>
              </w:rPr>
              <w:t>Mitigation of interference due to IAB-node mobility, including the avoidance of potential reference and control signal collisions (e.g. PCI, RACH). [RAN3, RAN2]</w:t>
            </w:r>
          </w:p>
        </w:tc>
      </w:tr>
    </w:tbl>
    <w:p>
      <w:pPr>
        <w:rPr>
          <w:rFonts w:hint="default"/>
          <w:lang w:val="en-US" w:eastAsia="zh-CN"/>
        </w:rPr>
      </w:pPr>
      <w:r>
        <w:rPr>
          <w:rFonts w:hint="eastAsia" w:ascii="Times New Roman" w:hAnsi="Times New Roman" w:cs="Times New Roman"/>
          <w:lang w:val="en-US" w:eastAsia="zh-CN"/>
        </w:rPr>
        <w:t>During RAN</w:t>
      </w:r>
      <w:r>
        <w:rPr>
          <w:rFonts w:hint="eastAsia" w:cs="Times New Roman"/>
          <w:lang w:val="en-US" w:eastAsia="zh-CN"/>
        </w:rPr>
        <w:t xml:space="preserve">3#119bis-e meeting, the following open issues were identified to be further discussed.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bidi w:val="0"/>
              <w:rPr>
                <w:rFonts w:hint="default"/>
                <w:lang w:val="en-US" w:eastAsia="zh-CN"/>
              </w:rPr>
            </w:pPr>
            <w:r>
              <w:rPr>
                <w:rFonts w:hint="eastAsia"/>
                <w:lang w:val="en-US" w:eastAsia="zh-CN"/>
              </w:rPr>
              <w:t>RAN3#119bis:</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Open issues identified to be continued:</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 Xn between IAB-DU’s donor and IAB-MT’s donor.  </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without Xn between IAB-DU’s donor and IAB-MT’s donor if the scenario is supported. </w:t>
            </w:r>
          </w:p>
          <w:p>
            <w:pPr>
              <w:jc w:val="both"/>
              <w:rPr>
                <w:rFonts w:hint="eastAsia" w:cs="Times New Roman"/>
                <w:vertAlign w:val="baseline"/>
                <w:lang w:val="en-US" w:eastAsia="zh-CN"/>
              </w:rPr>
            </w:pPr>
            <w:r>
              <w:rPr>
                <w:rFonts w:ascii="Calibri" w:hAnsi="Calibri" w:cs="Calibri"/>
                <w:b/>
                <w:color w:val="0000FF"/>
                <w:sz w:val="18"/>
                <w:szCs w:val="18"/>
                <w:lang w:eastAsia="en-US"/>
              </w:rPr>
              <w:t>Whether PCI collision between mobile IAB cells can be predicted based on existing UE measurement report.</w:t>
            </w:r>
          </w:p>
        </w:tc>
      </w:tr>
    </w:tbl>
    <w:p>
      <w:pPr>
        <w:rPr>
          <w:rFonts w:hint="default"/>
          <w:lang w:val="en-US" w:eastAsia="zh-CN"/>
        </w:rPr>
      </w:pPr>
      <w:r>
        <w:rPr>
          <w:rFonts w:hint="eastAsia"/>
          <w:lang w:eastAsia="zh-CN"/>
        </w:rPr>
        <w:t xml:space="preserve">On the other hand, the following agreements were achieved in RAN3#117 bis meeting, i.e. PCI collision can be detected by the F1-terminating IAB-donor of the mobile IAB-node.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rPr>
                <w:lang w:eastAsia="zh-CN"/>
              </w:rPr>
            </w:pPr>
            <w:r>
              <w:rPr>
                <w:rFonts w:ascii="Calibri" w:hAnsi="Calibri" w:cs="Calibri"/>
                <w:b/>
                <w:color w:val="008000"/>
                <w:sz w:val="18"/>
                <w:szCs w:val="18"/>
              </w:rPr>
              <w:t>PCI collision can be detected by the F1-terminating IAB-donor of the mobile IAB-node.</w:t>
            </w:r>
          </w:p>
        </w:tc>
      </w:tr>
    </w:tbl>
    <w:p>
      <w:pPr>
        <w:rPr>
          <w:rFonts w:hint="eastAsia"/>
          <w:lang w:eastAsia="zh-CN"/>
        </w:rPr>
      </w:pPr>
      <w:r>
        <w:rPr>
          <w:rFonts w:hint="eastAsia"/>
          <w:lang w:val="en-US" w:eastAsia="zh-CN"/>
        </w:rPr>
        <w:t>As agreed in RAN3#121bis meeting, t</w:t>
      </w:r>
      <w:r>
        <w:rPr>
          <w:lang w:eastAsia="en-US"/>
        </w:rPr>
        <w:t xml:space="preserve">he gNB-ID of the MT’s CU and the </w:t>
      </w:r>
      <w:r>
        <w:rPr>
          <w:rFonts w:hint="eastAsia"/>
          <w:lang w:val="en-US" w:eastAsia="zh-CN"/>
        </w:rPr>
        <w:t>MT</w:t>
      </w:r>
      <w:r>
        <w:rPr>
          <w:rFonts w:hint="default"/>
          <w:lang w:val="en-US" w:eastAsia="zh-CN"/>
        </w:rPr>
        <w:t>’</w:t>
      </w:r>
      <w:r>
        <w:rPr>
          <w:rFonts w:hint="eastAsia"/>
          <w:lang w:val="en-US" w:eastAsia="zh-CN"/>
        </w:rPr>
        <w:t>s ULI information are</w:t>
      </w:r>
      <w:r>
        <w:rPr>
          <w:lang w:eastAsia="en-US"/>
        </w:rPr>
        <w:t xml:space="preserve"> passed over F1AP for MT migration.</w:t>
      </w:r>
      <w:r>
        <w:rPr>
          <w:rFonts w:hint="eastAsia"/>
          <w:lang w:val="en-US" w:eastAsia="zh-CN"/>
        </w:rPr>
        <w:t xml:space="preserve"> That means the mIAB-DU sends t</w:t>
      </w:r>
      <w:r>
        <w:rPr>
          <w:lang w:eastAsia="en-US"/>
        </w:rPr>
        <w:t>he gNB-ID of the MT’s CU</w:t>
      </w:r>
      <w:r>
        <w:rPr>
          <w:rFonts w:hint="eastAsia"/>
          <w:lang w:val="en-US" w:eastAsia="zh-CN"/>
        </w:rPr>
        <w:t xml:space="preserve"> and the cell ID of the cell serving the mIAB-MT to the </w:t>
      </w:r>
      <w:r>
        <w:t>mIAB-DU’s donor CU</w:t>
      </w:r>
      <w:r>
        <w:rPr>
          <w:rFonts w:hint="eastAsia"/>
          <w:lang w:val="en-US" w:eastAsia="zh-CN"/>
        </w:rPr>
        <w:t xml:space="preserve"> via F1 </w:t>
      </w:r>
      <w:r>
        <w:t xml:space="preserve">after the completion of </w:t>
      </w:r>
      <w:r>
        <w:rPr>
          <w:rFonts w:hint="eastAsia"/>
          <w:lang w:val="en-US" w:eastAsia="zh-CN"/>
        </w:rPr>
        <w:t>m</w:t>
      </w:r>
      <w:r>
        <w:t>IAB-MT HO.</w:t>
      </w:r>
      <w:r>
        <w:rPr>
          <w:rFonts w:hint="eastAsia"/>
          <w:lang w:val="en-US" w:eastAsia="zh-CN"/>
        </w:rPr>
        <w:t xml:space="preserve"> In this way, the DU</w:t>
      </w:r>
      <w:r>
        <w:rPr>
          <w:rFonts w:hint="default"/>
          <w:lang w:val="en-US" w:eastAsia="zh-CN"/>
        </w:rPr>
        <w:t>’</w:t>
      </w:r>
      <w:r>
        <w:rPr>
          <w:rFonts w:hint="eastAsia"/>
          <w:lang w:val="en-US" w:eastAsia="zh-CN"/>
        </w:rPr>
        <w:t>s donor can be aware of the gNB ID of the MT</w:t>
      </w:r>
      <w:r>
        <w:rPr>
          <w:rFonts w:hint="default"/>
          <w:lang w:val="en-US" w:eastAsia="zh-CN"/>
        </w:rPr>
        <w:t>’</w:t>
      </w:r>
      <w:r>
        <w:rPr>
          <w:rFonts w:hint="eastAsia"/>
          <w:lang w:val="en-US" w:eastAsia="zh-CN"/>
        </w:rPr>
        <w:t>s target CU and NCGI of MT</w:t>
      </w:r>
      <w:r>
        <w:rPr>
          <w:rFonts w:hint="default"/>
          <w:lang w:val="en-US" w:eastAsia="zh-CN"/>
        </w:rPr>
        <w:t>’</w:t>
      </w:r>
      <w:r>
        <w:rPr>
          <w:rFonts w:hint="eastAsia"/>
          <w:lang w:val="en-US" w:eastAsia="zh-CN"/>
        </w:rPr>
        <w:t>s serving cell. When there is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DU</w:t>
      </w:r>
      <w:r>
        <w:rPr>
          <w:rFonts w:hint="default"/>
          <w:lang w:val="en-US" w:eastAsia="zh-CN"/>
        </w:rPr>
        <w:t>’</w:t>
      </w:r>
      <w:r>
        <w:rPr>
          <w:rFonts w:hint="eastAsia"/>
          <w:lang w:val="en-US" w:eastAsia="zh-CN"/>
        </w:rPr>
        <w:t>s donor CU can be aware of PCIs used in the serving cells and neighbour cells of the MT</w:t>
      </w:r>
      <w:r>
        <w:rPr>
          <w:rFonts w:hint="default"/>
          <w:lang w:val="en-US" w:eastAsia="zh-CN"/>
        </w:rPr>
        <w:t>’</w:t>
      </w:r>
      <w:r>
        <w:rPr>
          <w:rFonts w:hint="eastAsia"/>
          <w:lang w:val="en-US" w:eastAsia="zh-CN"/>
        </w:rPr>
        <w:t xml:space="preserve">s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lang w:eastAsia="zh-CN"/>
        </w:rPr>
        <w:t xml:space="preserve"> In this way, PCI collision can only be detected by F1-terminating donor after receiving gNB ID of MT's target donor </w:t>
      </w:r>
      <w:r>
        <w:rPr>
          <w:rFonts w:hint="eastAsia"/>
          <w:lang w:val="en-US" w:eastAsia="zh-CN"/>
        </w:rPr>
        <w:t>and NCGI of MT</w:t>
      </w:r>
      <w:r>
        <w:rPr>
          <w:rFonts w:hint="default"/>
          <w:lang w:val="en-US" w:eastAsia="zh-CN"/>
        </w:rPr>
        <w:t>’</w:t>
      </w:r>
      <w:r>
        <w:rPr>
          <w:rFonts w:hint="eastAsia"/>
          <w:lang w:val="en-US" w:eastAsia="zh-CN"/>
        </w:rPr>
        <w:t>s serving cell</w:t>
      </w:r>
      <w:r>
        <w:rPr>
          <w:rFonts w:hint="eastAsia"/>
          <w:lang w:eastAsia="zh-CN"/>
        </w:rPr>
        <w:t xml:space="preserve"> after completion of IAB-MT HO. That means PCI collision </w:t>
      </w:r>
      <w:r>
        <w:rPr>
          <w:rFonts w:hint="eastAsia"/>
          <w:lang w:val="en-US" w:eastAsia="zh-CN"/>
        </w:rPr>
        <w:t xml:space="preserve">can be detected after PCI collision occurs and </w:t>
      </w:r>
      <w:r>
        <w:rPr>
          <w:rFonts w:hint="eastAsia"/>
          <w:lang w:eastAsia="zh-CN"/>
        </w:rPr>
        <w:t xml:space="preserve">cannot be avoided in this method. </w:t>
      </w:r>
    </w:p>
    <w:p>
      <w:pPr>
        <w:rPr>
          <w:rFonts w:hint="default"/>
          <w:b/>
          <w:bCs/>
          <w:lang w:val="en-US" w:eastAsia="zh-CN"/>
        </w:rPr>
      </w:pPr>
      <w:r>
        <w:rPr>
          <w:rFonts w:hint="eastAsia"/>
          <w:b/>
          <w:bCs/>
          <w:lang w:val="en-US" w:eastAsia="zh-CN"/>
        </w:rPr>
        <w:t xml:space="preserve">Observation 1: </w:t>
      </w:r>
      <w:r>
        <w:rPr>
          <w:rFonts w:hint="eastAsia"/>
          <w:b/>
          <w:bCs/>
          <w:lang w:eastAsia="zh-CN"/>
        </w:rPr>
        <w:t>PCI collision can only be detected by F1-terminating donor after receiving gNB ID of MT's target donor</w:t>
      </w:r>
      <w:r>
        <w:rPr>
          <w:rFonts w:hint="eastAsia"/>
          <w:b/>
          <w:bCs/>
          <w:lang w:val="en-US" w:eastAsia="zh-CN"/>
        </w:rPr>
        <w:t xml:space="preserve"> and NCGI of MT</w:t>
      </w:r>
      <w:r>
        <w:rPr>
          <w:rFonts w:hint="default"/>
          <w:b/>
          <w:bCs/>
          <w:lang w:val="en-US" w:eastAsia="zh-CN"/>
        </w:rPr>
        <w:t>’</w:t>
      </w:r>
      <w:r>
        <w:rPr>
          <w:rFonts w:hint="eastAsia"/>
          <w:b/>
          <w:bCs/>
          <w:lang w:val="en-US" w:eastAsia="zh-CN"/>
        </w:rPr>
        <w:t xml:space="preserve">s serving cell </w:t>
      </w:r>
      <w:r>
        <w:rPr>
          <w:rFonts w:hint="eastAsia"/>
          <w:b/>
          <w:bCs/>
          <w:lang w:eastAsia="zh-CN"/>
        </w:rPr>
        <w:t xml:space="preserve">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lang w:val="en-US" w:eastAsia="zh-CN"/>
        </w:rPr>
      </w:pPr>
      <w:r>
        <w:rPr>
          <w:rFonts w:hint="eastAsia"/>
          <w:lang w:val="en-US" w:eastAsia="zh-CN"/>
        </w:rPr>
        <w:t>When there is no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mechanism stated above cannot work. The reason is that the F1-terminatin</w:t>
      </w:r>
      <w:r>
        <w:rPr>
          <w:rFonts w:hint="eastAsia"/>
          <w:b w:val="0"/>
          <w:bCs w:val="0"/>
          <w:lang w:val="en-US" w:eastAsia="zh-CN"/>
        </w:rPr>
        <w:t>g donor is not able to obtain the PCIs of the serving cells and its neighbouring cells of the MT</w:t>
      </w:r>
      <w:r>
        <w:rPr>
          <w:rFonts w:hint="default"/>
          <w:b w:val="0"/>
          <w:bCs w:val="0"/>
          <w:lang w:val="en-US" w:eastAsia="zh-CN"/>
        </w:rPr>
        <w:t>’</w:t>
      </w:r>
      <w:r>
        <w:rPr>
          <w:rFonts w:hint="eastAsia"/>
          <w:b w:val="0"/>
          <w:bCs w:val="0"/>
          <w:lang w:val="en-US" w:eastAsia="zh-CN"/>
        </w:rPr>
        <w:t>s target donor via the neighboring cell info exchange via Xn</w:t>
      </w:r>
      <w:r>
        <w:rPr>
          <w:rFonts w:hint="eastAsia"/>
          <w:lang w:val="en-US" w:eastAsia="zh-CN"/>
        </w:rPr>
        <w:t xml:space="preserve">. Some companies propose that the </w:t>
      </w:r>
      <w:r>
        <w:rPr>
          <w:rFonts w:hint="default"/>
          <w:lang w:val="en-US"/>
        </w:rPr>
        <w:t>F1-terminating IAB-donor can detect the PCI collision based on the UE</w:t>
      </w:r>
      <w:r>
        <w:rPr>
          <w:rFonts w:hint="eastAsia"/>
          <w:lang w:val="en-US" w:eastAsia="zh-CN"/>
        </w:rPr>
        <w:t xml:space="preserve"> measurement </w:t>
      </w:r>
      <w:r>
        <w:rPr>
          <w:rFonts w:hint="default"/>
          <w:lang w:val="en-US"/>
        </w:rPr>
        <w:t>report in this case. In our understanding, the UE</w:t>
      </w:r>
      <w:r>
        <w:rPr>
          <w:rFonts w:hint="eastAsia"/>
          <w:lang w:val="en-US" w:eastAsia="zh-CN"/>
        </w:rPr>
        <w:t xml:space="preserve"> measurement</w:t>
      </w:r>
      <w:r>
        <w:rPr>
          <w:rFonts w:hint="default"/>
          <w:lang w:val="en-US"/>
        </w:rPr>
        <w:t xml:space="preserve"> report method means UEs served by the mobile IAB node report the detected PCI and corresponding NCGI 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the UE measurement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ind w:leftChars="0"/>
        <w:jc w:val="both"/>
        <w:rPr>
          <w:rFonts w:hint="default" w:eastAsia="等线"/>
          <w:lang w:val="en-US" w:eastAsia="zh-CN"/>
        </w:rPr>
      </w:pPr>
      <w:r>
        <w:rPr>
          <w:rFonts w:hint="eastAsia" w:eastAsia="等线"/>
          <w:lang w:val="en-US" w:eastAsia="zh-CN"/>
        </w:rPr>
        <w:t xml:space="preserve">In order to predict and avoid PCI collision for mobile IAB cell, the following options </w:t>
      </w:r>
      <w:r>
        <w:rPr>
          <w:rFonts w:hint="eastAsia" w:eastAsia="等线"/>
          <w:b w:val="0"/>
          <w:bCs w:val="0"/>
          <w:lang w:val="en-US" w:eastAsia="zh-CN"/>
        </w:rPr>
        <w:t>could be considered:</w:t>
      </w:r>
    </w:p>
    <w:p>
      <w:pPr>
        <w:numPr>
          <w:ilvl w:val="0"/>
          <w:numId w:val="14"/>
        </w:numPr>
        <w:overflowPunct w:val="0"/>
        <w:autoSpaceDE w:val="0"/>
        <w:autoSpaceDN w:val="0"/>
        <w:adjustRightInd w:val="0"/>
        <w:spacing w:before="156" w:beforeLines="50"/>
        <w:ind w:left="420" w:leftChars="0" w:hanging="420" w:firstLineChars="0"/>
        <w:jc w:val="both"/>
        <w:rPr>
          <w:rFonts w:hint="eastAsia"/>
          <w:b/>
          <w:bCs/>
          <w:lang w:val="en-US" w:eastAsia="zh-CN"/>
        </w:rPr>
      </w:pPr>
      <w:r>
        <w:rPr>
          <w:rFonts w:hint="eastAsia"/>
          <w:b/>
          <w:bCs/>
          <w:lang w:val="en-US" w:eastAsia="zh-CN"/>
        </w:rPr>
        <w:t>Option 1: the PCI collision is predicted and reconfigured by DU</w:t>
      </w:r>
      <w:r>
        <w:rPr>
          <w:rFonts w:hint="default"/>
          <w:b/>
          <w:bCs/>
          <w:lang w:val="en-US" w:eastAsia="zh-CN"/>
        </w:rPr>
        <w:t>’</w:t>
      </w:r>
      <w:r>
        <w:rPr>
          <w:rFonts w:hint="eastAsia"/>
          <w:b/>
          <w:bCs/>
          <w:lang w:val="en-US" w:eastAsia="zh-CN"/>
        </w:rPr>
        <w:t>s donor via F1</w:t>
      </w:r>
    </w:p>
    <w:p>
      <w:pPr>
        <w:numPr>
          <w:ilvl w:val="0"/>
          <w:numId w:val="0"/>
        </w:numPr>
        <w:overflowPunct w:val="0"/>
        <w:autoSpaceDE w:val="0"/>
        <w:autoSpaceDN w:val="0"/>
        <w:adjustRightInd w:val="0"/>
        <w:spacing w:before="156" w:beforeLines="50"/>
        <w:ind w:leftChars="0"/>
        <w:jc w:val="both"/>
        <w:rPr>
          <w:rFonts w:hint="eastAsia"/>
          <w:lang w:val="en-US" w:eastAsia="zh-CN"/>
        </w:rPr>
      </w:pPr>
      <w:r>
        <w:rPr>
          <w:rFonts w:hint="eastAsia"/>
          <w:lang w:val="en-US" w:eastAsia="zh-CN"/>
        </w:rPr>
        <w:t>In this option, the DU</w:t>
      </w:r>
      <w:r>
        <w:rPr>
          <w:rFonts w:hint="default"/>
          <w:lang w:val="en-US" w:eastAsia="zh-CN"/>
        </w:rPr>
        <w:t>’</w:t>
      </w:r>
      <w:r>
        <w:rPr>
          <w:rFonts w:hint="eastAsia"/>
          <w:lang w:val="en-US" w:eastAsia="zh-CN"/>
        </w:rPr>
        <w:t>s donor needs to coordinate with the MT</w:t>
      </w:r>
      <w:r>
        <w:rPr>
          <w:rFonts w:hint="default"/>
          <w:lang w:val="en-US" w:eastAsia="zh-CN"/>
        </w:rPr>
        <w:t>’</w:t>
      </w:r>
      <w:r>
        <w:rPr>
          <w:rFonts w:hint="eastAsia"/>
          <w:lang w:val="en-US" w:eastAsia="zh-CN"/>
        </w:rPr>
        <w:t>s donor so that the DU</w:t>
      </w:r>
      <w:r>
        <w:rPr>
          <w:rFonts w:hint="default"/>
          <w:lang w:val="en-US" w:eastAsia="zh-CN"/>
        </w:rPr>
        <w:t>’</w:t>
      </w:r>
      <w:r>
        <w:rPr>
          <w:rFonts w:hint="eastAsia"/>
          <w:lang w:val="en-US" w:eastAsia="zh-CN"/>
        </w:rPr>
        <w:t xml:space="preserve">s donor can detect the PCI collision for mobile IAB cell in advance. That means XnAP and NGAP need to be enhanced to support the PCI collision prediction and PCI reconfiguration </w:t>
      </w:r>
      <w:r>
        <w:rPr>
          <w:rFonts w:hint="eastAsia"/>
          <w:b w:val="0"/>
          <w:bCs w:val="0"/>
          <w:lang w:val="en-US" w:eastAsia="zh-CN"/>
        </w:rPr>
        <w:t xml:space="preserve">during partial migration. </w:t>
      </w:r>
      <w:r>
        <w:rPr>
          <w:rFonts w:hint="eastAsia"/>
          <w:lang w:val="en-US" w:eastAsia="zh-CN"/>
        </w:rPr>
        <w:t>For example, PCIs used in the serving cells and neighbour cells of the MT</w:t>
      </w:r>
      <w:r>
        <w:rPr>
          <w:rFonts w:hint="default"/>
          <w:lang w:val="en-US" w:eastAsia="zh-CN"/>
        </w:rPr>
        <w:t>’</w:t>
      </w:r>
      <w:r>
        <w:rPr>
          <w:rFonts w:hint="eastAsia"/>
          <w:lang w:val="en-US" w:eastAsia="zh-CN"/>
        </w:rPr>
        <w:t>s target donor may need to be transferred via XnAP/NGAP from the MT</w:t>
      </w:r>
      <w:r>
        <w:rPr>
          <w:rFonts w:hint="default"/>
          <w:lang w:val="en-US" w:eastAsia="zh-CN"/>
        </w:rPr>
        <w:t>’</w:t>
      </w:r>
      <w:r>
        <w:rPr>
          <w:rFonts w:hint="eastAsia"/>
          <w:lang w:val="en-US" w:eastAsia="zh-CN"/>
        </w:rPr>
        <w:t>s target donor to DU</w:t>
      </w:r>
      <w:r>
        <w:rPr>
          <w:rFonts w:hint="default"/>
          <w:lang w:val="en-US" w:eastAsia="zh-CN"/>
        </w:rPr>
        <w:t>’</w:t>
      </w:r>
      <w:r>
        <w:rPr>
          <w:rFonts w:hint="eastAsia"/>
          <w:lang w:val="en-US" w:eastAsia="zh-CN"/>
        </w:rPr>
        <w:t xml:space="preserve">s donor. </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numPr>
          <w:ilvl w:val="0"/>
          <w:numId w:val="14"/>
        </w:numPr>
        <w:bidi w:val="0"/>
        <w:ind w:left="420" w:leftChars="0" w:hanging="420" w:firstLineChars="0"/>
        <w:rPr>
          <w:rFonts w:hint="eastAsia"/>
          <w:b/>
          <w:bCs/>
          <w:lang w:val="en-US" w:eastAsia="zh-CN"/>
        </w:rPr>
      </w:pPr>
      <w:r>
        <w:rPr>
          <w:rFonts w:hint="eastAsia"/>
          <w:b/>
          <w:bCs/>
          <w:lang w:val="en-US" w:eastAsia="zh-CN"/>
        </w:rPr>
        <w:t>Option 2: the PCI collision is predicted and reconfigured by MT</w:t>
      </w:r>
      <w:r>
        <w:rPr>
          <w:rFonts w:hint="default"/>
          <w:b/>
          <w:bCs/>
          <w:lang w:val="en-US" w:eastAsia="zh-CN"/>
        </w:rPr>
        <w:t>’</w:t>
      </w:r>
      <w:r>
        <w:rPr>
          <w:rFonts w:hint="eastAsia"/>
          <w:b/>
          <w:bCs/>
          <w:lang w:val="en-US" w:eastAsia="zh-CN"/>
        </w:rPr>
        <w:t>s donor via RRC</w:t>
      </w:r>
    </w:p>
    <w:p>
      <w:pPr>
        <w:numPr>
          <w:ilvl w:val="0"/>
          <w:numId w:val="0"/>
        </w:numPr>
        <w:ind w:leftChars="0"/>
        <w:jc w:val="both"/>
        <w:rPr>
          <w:rFonts w:hint="eastAsia"/>
          <w:lang w:val="en-US" w:eastAsia="zh-CN"/>
        </w:rPr>
      </w:pPr>
      <w:r>
        <w:rPr>
          <w:rFonts w:hint="eastAsia" w:eastAsia="等线"/>
          <w:lang w:val="en-US" w:eastAsia="zh-CN"/>
        </w:rPr>
        <w:t xml:space="preserve">In option 2, </w:t>
      </w:r>
      <w:r>
        <w:rPr>
          <w:rFonts w:hint="eastAsia"/>
          <w:color w:val="auto"/>
          <w:highlight w:val="none"/>
          <w:lang w:val="en-US" w:eastAsia="zh-CN"/>
        </w:rPr>
        <w:t>the PCI(s) of the mobile IAB-DU cell(s) can be sent by MT</w:t>
      </w:r>
      <w:r>
        <w:rPr>
          <w:rFonts w:hint="default"/>
          <w:color w:val="auto"/>
          <w:highlight w:val="none"/>
          <w:lang w:val="en-US" w:eastAsia="zh-CN"/>
        </w:rPr>
        <w:t>’</w:t>
      </w:r>
      <w:r>
        <w:rPr>
          <w:rFonts w:hint="eastAsia"/>
          <w:color w:val="auto"/>
          <w:highlight w:val="none"/>
          <w:lang w:val="en-US" w:eastAsia="zh-CN"/>
        </w:rPr>
        <w:t>s source donor CU to the MT</w:t>
      </w:r>
      <w:r>
        <w:rPr>
          <w:rFonts w:hint="default"/>
          <w:color w:val="auto"/>
          <w:highlight w:val="none"/>
          <w:lang w:val="en-US" w:eastAsia="zh-CN"/>
        </w:rPr>
        <w:t>’</w:t>
      </w:r>
      <w:r>
        <w:rPr>
          <w:rFonts w:hint="eastAsia"/>
          <w:color w:val="auto"/>
          <w:highlight w:val="none"/>
          <w:lang w:val="en-US" w:eastAsia="zh-CN"/>
        </w:rPr>
        <w:t>s target donor CU during HO preparation phase of the mobile IAB-MT. In this way, the MT</w:t>
      </w:r>
      <w:r>
        <w:rPr>
          <w:rFonts w:hint="default"/>
          <w:color w:val="auto"/>
          <w:highlight w:val="none"/>
          <w:lang w:val="en-US" w:eastAsia="zh-CN"/>
        </w:rPr>
        <w:t>’</w:t>
      </w:r>
      <w:r>
        <w:rPr>
          <w:rFonts w:hint="eastAsia"/>
          <w:color w:val="auto"/>
          <w:highlight w:val="none"/>
          <w:lang w:val="en-US" w:eastAsia="zh-CN"/>
        </w:rPr>
        <w:t xml:space="preserve">s target donor can predict potential PCI collision in advance. And the target donor CU could re-assign new </w:t>
      </w:r>
      <w:r>
        <w:rPr>
          <w:rFonts w:hint="eastAsia"/>
          <w:lang w:val="en-US" w:eastAsia="zh-CN"/>
        </w:rPr>
        <w:t>PCI(s)</w:t>
      </w:r>
      <w:r>
        <w:rPr>
          <w:rFonts w:hint="eastAsia"/>
          <w:color w:val="auto"/>
          <w:highlight w:val="none"/>
          <w:lang w:val="en-US" w:eastAsia="zh-CN"/>
        </w:rPr>
        <w:t xml:space="preserve">for the mobile IAB-DU cell and send the new </w:t>
      </w:r>
      <w:r>
        <w:rPr>
          <w:rFonts w:hint="eastAsia"/>
          <w:lang w:val="en-US" w:eastAsia="zh-CN"/>
        </w:rPr>
        <w:t>PCI(s)</w:t>
      </w:r>
      <w:r>
        <w:rPr>
          <w:rFonts w:hint="eastAsia"/>
          <w:color w:val="auto"/>
          <w:highlight w:val="none"/>
          <w:lang w:val="en-US" w:eastAsia="zh-CN"/>
        </w:rPr>
        <w:t xml:space="preserve"> to the mobile IAB-MT via the RRCReconfiguration message if potential PCI collision is detected. Upon receiving the new </w:t>
      </w:r>
      <w:r>
        <w:rPr>
          <w:rFonts w:hint="eastAsia"/>
          <w:lang w:val="en-US" w:eastAsia="zh-CN"/>
        </w:rPr>
        <w:t>PCI(s)</w:t>
      </w:r>
      <w:r>
        <w:rPr>
          <w:rFonts w:hint="eastAsia"/>
          <w:color w:val="auto"/>
          <w:highlight w:val="none"/>
          <w:lang w:val="en-US" w:eastAsia="zh-CN"/>
        </w:rPr>
        <w:t xml:space="preserve"> via the RRC message from source donor CU, the mobile IAB-MT delivers the new </w:t>
      </w:r>
      <w:r>
        <w:rPr>
          <w:rFonts w:hint="eastAsia"/>
          <w:lang w:val="en-US" w:eastAsia="zh-CN"/>
        </w:rPr>
        <w:t>PCI(s)</w:t>
      </w:r>
      <w:r>
        <w:rPr>
          <w:rFonts w:hint="eastAsia"/>
          <w:color w:val="auto"/>
          <w:highlight w:val="none"/>
          <w:lang w:val="en-US" w:eastAsia="zh-CN"/>
        </w:rPr>
        <w:t xml:space="preserve"> of mobile IAB cell to the co-located mobile IAB-DU. And then the mobile IAB node</w:t>
      </w:r>
      <w:r>
        <w:rPr>
          <w:rFonts w:hint="eastAsia"/>
          <w:lang w:val="en-US" w:eastAsia="zh-CN"/>
        </w:rPr>
        <w:t xml:space="preserve"> activates the 2</w:t>
      </w:r>
      <w:r>
        <w:rPr>
          <w:rFonts w:hint="eastAsia"/>
          <w:vertAlign w:val="superscript"/>
          <w:lang w:val="en-US" w:eastAsia="zh-CN"/>
        </w:rPr>
        <w:t>nd</w:t>
      </w:r>
      <w:r>
        <w:rPr>
          <w:rFonts w:hint="eastAsia"/>
          <w:lang w:val="en-US" w:eastAsia="zh-CN"/>
        </w:rPr>
        <w:t xml:space="preserve"> set of cells using the new PCI(s).  </w:t>
      </w:r>
    </w:p>
    <w:p>
      <w:pPr>
        <w:numPr>
          <w:ilvl w:val="0"/>
          <w:numId w:val="14"/>
        </w:numPr>
        <w:ind w:left="420" w:leftChars="0" w:hanging="420" w:firstLineChars="0"/>
        <w:jc w:val="both"/>
        <w:rPr>
          <w:rFonts w:hint="default"/>
          <w:b/>
          <w:bCs/>
          <w:lang w:val="en-US" w:eastAsia="zh-CN"/>
        </w:rPr>
      </w:pPr>
      <w:r>
        <w:rPr>
          <w:rFonts w:hint="eastAsia"/>
          <w:b/>
          <w:bCs/>
          <w:lang w:val="en-US" w:eastAsia="zh-CN"/>
        </w:rPr>
        <w:t>Option 3: the PCI collision is deteced and reconfigured by mobile IAB node itself</w:t>
      </w:r>
    </w:p>
    <w:p>
      <w:pPr>
        <w:bidi w:val="0"/>
        <w:rPr>
          <w:rFonts w:hint="eastAsia"/>
          <w:lang w:val="en-US" w:eastAsia="zh-CN"/>
        </w:rPr>
      </w:pPr>
      <w:r>
        <w:rPr>
          <w:rFonts w:hint="eastAsia"/>
          <w:b w:val="0"/>
          <w:bCs w:val="0"/>
          <w:lang w:val="en-US" w:eastAsia="zh-CN"/>
        </w:rPr>
        <w:t xml:space="preserve">In this option, </w:t>
      </w:r>
      <w:r>
        <w:rPr>
          <w:lang w:eastAsia="zh-CN"/>
        </w:rPr>
        <w:t xml:space="preserve">the mobile IAB-node detects the PCI collision based on the MT’s measurement. </w:t>
      </w:r>
      <w:r>
        <w:rPr>
          <w:rFonts w:hint="eastAsia"/>
          <w:lang w:val="en-US" w:eastAsia="zh-CN"/>
        </w:rPr>
        <w:t>Specifically t</w:t>
      </w:r>
      <w:r>
        <w:rPr>
          <w:lang w:eastAsia="zh-CN"/>
        </w:rPr>
        <w:t xml:space="preserve">he IAB-MT can </w:t>
      </w:r>
      <w:r>
        <w:rPr>
          <w:rFonts w:hint="eastAsia"/>
          <w:lang w:val="en-US" w:eastAsia="zh-CN"/>
        </w:rPr>
        <w:t xml:space="preserve">be aware of </w:t>
      </w:r>
      <w:r>
        <w:rPr>
          <w:lang w:eastAsia="zh-CN"/>
        </w:rPr>
        <w:t>PCIs</w:t>
      </w:r>
      <w:r>
        <w:rPr>
          <w:rFonts w:hint="eastAsia"/>
          <w:lang w:val="en-US" w:eastAsia="zh-CN"/>
        </w:rPr>
        <w:t xml:space="preserve"> used in neighbouring cells via performing </w:t>
      </w:r>
      <w:r>
        <w:rPr>
          <w:lang w:eastAsia="zh-CN"/>
        </w:rPr>
        <w:t>measure</w:t>
      </w:r>
      <w:r>
        <w:rPr>
          <w:rFonts w:hint="eastAsia"/>
          <w:lang w:val="en-US" w:eastAsia="zh-CN"/>
        </w:rPr>
        <w:t>ment by itself</w:t>
      </w:r>
      <w:r>
        <w:rPr>
          <w:lang w:eastAsia="zh-CN"/>
        </w:rPr>
        <w:t>. When the MT find a neighbor cell’s PCI is same as its co-located DU’s cell, the MT can detect the PCI collision</w:t>
      </w:r>
      <w:r>
        <w:rPr>
          <w:rFonts w:hint="eastAsia"/>
          <w:lang w:val="en-US" w:eastAsia="zh-CN"/>
        </w:rPr>
        <w:t xml:space="preserve"> and select a new PCI from a preconfigured PCI list</w:t>
      </w:r>
      <w:r>
        <w:rPr>
          <w:lang w:eastAsia="zh-CN"/>
        </w:rPr>
        <w:t>.</w:t>
      </w:r>
      <w:r>
        <w:rPr>
          <w:rFonts w:hint="eastAsia"/>
          <w:lang w:val="en-US" w:eastAsia="zh-CN"/>
        </w:rPr>
        <w:t xml:space="preserve"> This option is similar as the UE measurement report mechanism. </w:t>
      </w:r>
      <w:r>
        <w:rPr>
          <w:rFonts w:hint="default"/>
          <w:lang w:val="en-US"/>
        </w:rPr>
        <w:t xml:space="preserve"> </w:t>
      </w:r>
      <w:r>
        <w:rPr>
          <w:rFonts w:hint="eastAsia"/>
          <w:lang w:val="en-US" w:eastAsia="zh-CN"/>
        </w:rPr>
        <w:t>In this option, the</w:t>
      </w:r>
      <w:r>
        <w:rPr>
          <w:rFonts w:hint="default"/>
          <w:lang w:val="en-US"/>
        </w:rPr>
        <w:t xml:space="preserve"> mobile IAB node </w:t>
      </w:r>
      <w:r>
        <w:rPr>
          <w:rFonts w:hint="eastAsia"/>
          <w:lang w:val="en-US" w:eastAsia="zh-CN"/>
        </w:rPr>
        <w:t xml:space="preserve">can only detect the PCI collision </w:t>
      </w:r>
      <w:r>
        <w:rPr>
          <w:rFonts w:hint="default"/>
          <w:lang w:val="en-US"/>
        </w:rPr>
        <w:t xml:space="preserve">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it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As analyzed above, </w:t>
      </w:r>
      <w:r>
        <w:t xml:space="preserve">more </w:t>
      </w:r>
      <w:r>
        <w:rPr>
          <w:rFonts w:hint="eastAsia"/>
          <w:lang w:val="en-US" w:eastAsia="zh-CN"/>
        </w:rPr>
        <w:t>standardization effor</w:t>
      </w:r>
      <w:r>
        <w:rPr>
          <w:rFonts w:hint="eastAsia"/>
          <w:b w:val="0"/>
          <w:bCs w:val="0"/>
          <w:lang w:val="en-US" w:eastAsia="zh-CN"/>
        </w:rPr>
        <w:t xml:space="preserve">t and </w:t>
      </w:r>
      <w:r>
        <w:rPr>
          <w:b w:val="0"/>
          <w:bCs w:val="0"/>
        </w:rPr>
        <w:t>spec impact</w:t>
      </w:r>
      <w:r>
        <w:rPr>
          <w:rFonts w:hint="eastAsia"/>
          <w:b w:val="0"/>
          <w:bCs w:val="0"/>
          <w:lang w:val="en-US" w:eastAsia="zh-CN"/>
        </w:rPr>
        <w:t xml:space="preserve"> (i.e. NG impact)</w:t>
      </w:r>
      <w:r>
        <w:rPr>
          <w:b w:val="0"/>
          <w:bCs w:val="0"/>
        </w:rPr>
        <w:t xml:space="preserve"> </w:t>
      </w:r>
      <w:r>
        <w:rPr>
          <w:rFonts w:hint="eastAsia"/>
          <w:b w:val="0"/>
          <w:bCs w:val="0"/>
          <w:lang w:val="en-US" w:eastAsia="zh-CN"/>
        </w:rPr>
        <w:t xml:space="preserve">is needed </w:t>
      </w:r>
      <w:r>
        <w:rPr>
          <w:b w:val="0"/>
          <w:bCs w:val="0"/>
        </w:rPr>
        <w:t xml:space="preserve">if </w:t>
      </w:r>
      <w:r>
        <w:rPr>
          <w:rFonts w:hint="eastAsia"/>
          <w:b w:val="0"/>
          <w:bCs w:val="0"/>
          <w:lang w:val="en-US" w:eastAsia="zh-CN"/>
        </w:rPr>
        <w:t xml:space="preserve">PCI collision prediction and reconfiguration </w:t>
      </w:r>
      <w:r>
        <w:rPr>
          <w:rFonts w:hint="eastAsia"/>
          <w:lang w:val="en-US" w:eastAsia="zh-CN"/>
        </w:rPr>
        <w:t>of mobile IAB cell is performed by DU</w:t>
      </w:r>
      <w:r>
        <w:rPr>
          <w:rFonts w:hint="default"/>
          <w:lang w:val="en-US" w:eastAsia="zh-CN"/>
        </w:rPr>
        <w:t>’</w:t>
      </w:r>
      <w:r>
        <w:rPr>
          <w:rFonts w:hint="eastAsia"/>
          <w:lang w:val="en-US" w:eastAsia="zh-CN"/>
        </w:rPr>
        <w:t>s don</w:t>
      </w:r>
      <w:r>
        <w:rPr>
          <w:rFonts w:hint="eastAsia"/>
          <w:b w:val="0"/>
          <w:bCs w:val="0"/>
          <w:lang w:val="en-US" w:eastAsia="zh-CN"/>
        </w:rPr>
        <w:t>or in partial migration. Similar</w:t>
      </w:r>
      <w:r>
        <w:rPr>
          <w:rFonts w:hint="eastAsia"/>
          <w:lang w:val="en-US" w:eastAsia="zh-CN"/>
        </w:rPr>
        <w:t xml:space="preserve"> issue exists in TAC configuration of mobile IAB cell. We suggest that unified solution is adopted for the PCI/TAC configuration of mobile IAB cell, i.e. the PCI collision prediction and reconfiguration is performed by</w:t>
      </w:r>
      <w:r>
        <w:rPr>
          <w:rFonts w:hint="eastAsia"/>
          <w:b w:val="0"/>
          <w:bCs w:val="0"/>
          <w:lang w:val="en-US" w:eastAsia="zh-CN"/>
        </w:rPr>
        <w:t xml:space="preserve"> MT</w:t>
      </w:r>
      <w:r>
        <w:rPr>
          <w:rFonts w:hint="default"/>
          <w:b w:val="0"/>
          <w:bCs w:val="0"/>
          <w:lang w:val="en-US" w:eastAsia="zh-CN"/>
        </w:rPr>
        <w:t>’</w:t>
      </w:r>
      <w:r>
        <w:rPr>
          <w:rFonts w:hint="eastAsia"/>
          <w:b w:val="0"/>
          <w:bCs w:val="0"/>
          <w:lang w:val="en-US" w:eastAsia="zh-CN"/>
        </w:rPr>
        <w:t xml:space="preserve">s donor during partial migration. Considering that </w:t>
      </w:r>
      <w:r>
        <w:rPr>
          <w:rFonts w:hint="eastAsia"/>
          <w:lang w:val="en-US" w:eastAsia="zh-CN"/>
        </w:rPr>
        <w:t>the reconfiguration of PCI by MT</w:t>
      </w:r>
      <w:r>
        <w:rPr>
          <w:rFonts w:hint="default"/>
          <w:lang w:val="en-US" w:eastAsia="zh-CN"/>
        </w:rPr>
        <w:t>’</w:t>
      </w:r>
      <w:r>
        <w:rPr>
          <w:rFonts w:hint="eastAsia"/>
          <w:lang w:val="en-US" w:eastAsia="zh-CN"/>
        </w:rPr>
        <w:t xml:space="preserve">s donor via RRC needs to be discussed in RAN2, we suggest to send an LS to RAN2 to trigger the corresponding work in RAN2.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2: Send an LS to RAN2 to inform the progress in RAN3 and trigger the corresponding work in RAN2.</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w:t>
      </w:r>
      <w:r>
        <w:rPr>
          <w:rFonts w:hint="eastAsia" w:ascii="Times New Roman" w:hAnsi="Times New Roman" w:cs="Times New Roman"/>
          <w:sz w:val="20"/>
          <w:szCs w:val="20"/>
          <w:lang w:val="en-US" w:eastAsia="zh-CN"/>
        </w:rPr>
        <w:t xml:space="preserve">. The following observations and proposals are presented: </w:t>
      </w:r>
    </w:p>
    <w:p>
      <w:pPr>
        <w:rPr>
          <w:rFonts w:hint="default"/>
          <w:b/>
          <w:bCs/>
          <w:lang w:val="en-US" w:eastAsia="zh-CN"/>
        </w:rPr>
      </w:pPr>
      <w:r>
        <w:rPr>
          <w:rFonts w:hint="eastAsia"/>
          <w:b/>
          <w:bCs/>
          <w:lang w:val="en-US" w:eastAsia="zh-CN"/>
        </w:rPr>
        <w:t xml:space="preserve">Observation 1: </w:t>
      </w:r>
      <w:r>
        <w:rPr>
          <w:rFonts w:hint="eastAsia"/>
          <w:b/>
          <w:bCs/>
          <w:lang w:eastAsia="zh-CN"/>
        </w:rPr>
        <w:t>PCI collision can only be detected by F1-terminating donor after receiving gNB ID of MT's target donor</w:t>
      </w:r>
      <w:r>
        <w:rPr>
          <w:rFonts w:hint="eastAsia"/>
          <w:b/>
          <w:bCs/>
          <w:lang w:val="en-US" w:eastAsia="zh-CN"/>
        </w:rPr>
        <w:t xml:space="preserve"> and NCGI of MT</w:t>
      </w:r>
      <w:r>
        <w:rPr>
          <w:rFonts w:hint="default"/>
          <w:b/>
          <w:bCs/>
          <w:lang w:val="en-US" w:eastAsia="zh-CN"/>
        </w:rPr>
        <w:t>’</w:t>
      </w:r>
      <w:r>
        <w:rPr>
          <w:rFonts w:hint="eastAsia"/>
          <w:b/>
          <w:bCs/>
          <w:lang w:val="en-US" w:eastAsia="zh-CN"/>
        </w:rPr>
        <w:t xml:space="preserve">s serving cell </w:t>
      </w:r>
      <w:r>
        <w:rPr>
          <w:rFonts w:hint="eastAsia"/>
          <w:b/>
          <w:bCs/>
          <w:lang w:eastAsia="zh-CN"/>
        </w:rPr>
        <w:t xml:space="preserve">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ascii="Times New Roman" w:hAnsi="Times New Roman" w:cs="Times New Roman"/>
          <w:sz w:val="20"/>
          <w:szCs w:val="20"/>
          <w:lang w:val="en-US" w:eastAsia="zh-CN"/>
        </w:rPr>
      </w:pPr>
      <w:r>
        <w:rPr>
          <w:rFonts w:hint="eastAsia"/>
          <w:b/>
          <w:bCs/>
          <w:lang w:val="en-US" w:eastAsia="zh-CN"/>
        </w:rPr>
        <w:t>Proposal 2: Send an LS to RAN2 to inform the progress in RAN3 and trigger the corresponding work in RAN2.</w:t>
      </w:r>
    </w:p>
    <w:bookmarkEnd w:id="0"/>
    <w:p>
      <w:pPr>
        <w:pStyle w:val="2"/>
        <w:rPr>
          <w:rFonts w:eastAsia="宋体"/>
          <w:lang w:eastAsia="zh-CN"/>
        </w:rPr>
      </w:pPr>
      <w:r>
        <w:rPr>
          <w:rFonts w:hint="eastAsia" w:eastAsia="宋体"/>
          <w:lang w:eastAsia="zh-CN"/>
        </w:rPr>
        <w:t>Reference</w:t>
      </w:r>
    </w:p>
    <w:p>
      <w:pPr>
        <w:numPr>
          <w:ilvl w:val="0"/>
          <w:numId w:val="15"/>
        </w:numPr>
        <w:rPr>
          <w:rFonts w:hint="eastAsia"/>
          <w:b w:val="0"/>
          <w:bCs w:val="0"/>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E210EB"/>
    <w:multiLevelType w:val="singleLevel"/>
    <w:tmpl w:val="8BE210EB"/>
    <w:lvl w:ilvl="0" w:tentative="0">
      <w:start w:val="1"/>
      <w:numFmt w:val="bullet"/>
      <w:lvlText w:val=""/>
      <w:lvlJc w:val="left"/>
      <w:pPr>
        <w:ind w:left="420" w:hanging="420"/>
      </w:pPr>
      <w:rPr>
        <w:rFonts w:hint="default" w:ascii="Wingdings" w:hAnsi="Wingdings"/>
      </w:rPr>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58908B0"/>
    <w:multiLevelType w:val="multilevel"/>
    <w:tmpl w:val="65890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14"/>
  </w:num>
  <w:num w:numId="6">
    <w:abstractNumId w:val="12"/>
  </w:num>
  <w:num w:numId="7">
    <w:abstractNumId w:val="9"/>
  </w:num>
  <w:num w:numId="8">
    <w:abstractNumId w:val="13"/>
  </w:num>
  <w:num w:numId="9">
    <w:abstractNumId w:val="6"/>
  </w:num>
  <w:num w:numId="10">
    <w:abstractNumId w:val="5"/>
  </w:num>
  <w:num w:numId="11">
    <w:abstractNumId w:val="3"/>
  </w:num>
  <w:num w:numId="12">
    <w:abstractNumId w:val="8"/>
  </w:num>
  <w:num w:numId="13">
    <w:abstractNumId w:val="11"/>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018"/>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0F1F88"/>
    <w:rsid w:val="07155AB1"/>
    <w:rsid w:val="07341628"/>
    <w:rsid w:val="073902B1"/>
    <w:rsid w:val="073C49D1"/>
    <w:rsid w:val="074E1D2A"/>
    <w:rsid w:val="075375FC"/>
    <w:rsid w:val="07543A2A"/>
    <w:rsid w:val="076726AD"/>
    <w:rsid w:val="077917F0"/>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CF29AC"/>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2B6404"/>
    <w:rsid w:val="0B401BFF"/>
    <w:rsid w:val="0B481F97"/>
    <w:rsid w:val="0B751A27"/>
    <w:rsid w:val="0B763FB1"/>
    <w:rsid w:val="0B966DC2"/>
    <w:rsid w:val="0BA132F1"/>
    <w:rsid w:val="0BAC3567"/>
    <w:rsid w:val="0BC97B87"/>
    <w:rsid w:val="0BD11E51"/>
    <w:rsid w:val="0BDB3DBB"/>
    <w:rsid w:val="0BE520E1"/>
    <w:rsid w:val="0BF04964"/>
    <w:rsid w:val="0C017C43"/>
    <w:rsid w:val="0C0C4CA0"/>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46047"/>
    <w:rsid w:val="0CBB324D"/>
    <w:rsid w:val="0CBE103D"/>
    <w:rsid w:val="0CD07B3D"/>
    <w:rsid w:val="0CD72E9F"/>
    <w:rsid w:val="0CE62609"/>
    <w:rsid w:val="0D145B5C"/>
    <w:rsid w:val="0D2A3727"/>
    <w:rsid w:val="0D2E50C1"/>
    <w:rsid w:val="0D370E37"/>
    <w:rsid w:val="0D46289B"/>
    <w:rsid w:val="0D5153C6"/>
    <w:rsid w:val="0D5F75B9"/>
    <w:rsid w:val="0D635CBC"/>
    <w:rsid w:val="0D6876BC"/>
    <w:rsid w:val="0D76077C"/>
    <w:rsid w:val="0D801750"/>
    <w:rsid w:val="0D9338F1"/>
    <w:rsid w:val="0DD15057"/>
    <w:rsid w:val="0DE54816"/>
    <w:rsid w:val="0DF16B97"/>
    <w:rsid w:val="0E02571A"/>
    <w:rsid w:val="0E04044F"/>
    <w:rsid w:val="0E040C64"/>
    <w:rsid w:val="0E091150"/>
    <w:rsid w:val="0E0B4BF2"/>
    <w:rsid w:val="0E0D6582"/>
    <w:rsid w:val="0E1E06DD"/>
    <w:rsid w:val="0E1E3660"/>
    <w:rsid w:val="0E2E7056"/>
    <w:rsid w:val="0E3D2D24"/>
    <w:rsid w:val="0E6446D6"/>
    <w:rsid w:val="0E6C1770"/>
    <w:rsid w:val="0E6E2F1C"/>
    <w:rsid w:val="0E7918B4"/>
    <w:rsid w:val="0E8509CB"/>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865598"/>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3ED7995"/>
    <w:rsid w:val="141B597C"/>
    <w:rsid w:val="141C4CDF"/>
    <w:rsid w:val="142960F9"/>
    <w:rsid w:val="142E1692"/>
    <w:rsid w:val="142E225B"/>
    <w:rsid w:val="14402E2D"/>
    <w:rsid w:val="144B174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4247E9"/>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39321B"/>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EF50F1"/>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72E39"/>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221257"/>
    <w:rsid w:val="253D5605"/>
    <w:rsid w:val="2551345D"/>
    <w:rsid w:val="25517903"/>
    <w:rsid w:val="25660E03"/>
    <w:rsid w:val="256C7ECE"/>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6F036C1"/>
    <w:rsid w:val="270636C6"/>
    <w:rsid w:val="27171992"/>
    <w:rsid w:val="27175BED"/>
    <w:rsid w:val="271F5352"/>
    <w:rsid w:val="27203B3F"/>
    <w:rsid w:val="272A5204"/>
    <w:rsid w:val="273534DB"/>
    <w:rsid w:val="27982067"/>
    <w:rsid w:val="279F0993"/>
    <w:rsid w:val="27A4757F"/>
    <w:rsid w:val="27A81AD0"/>
    <w:rsid w:val="27AA1A34"/>
    <w:rsid w:val="27CE5694"/>
    <w:rsid w:val="27D41A55"/>
    <w:rsid w:val="27DC4A80"/>
    <w:rsid w:val="27E74581"/>
    <w:rsid w:val="27F12F64"/>
    <w:rsid w:val="27F3735C"/>
    <w:rsid w:val="27F47CC7"/>
    <w:rsid w:val="281475FD"/>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5821C5"/>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64FFF"/>
    <w:rsid w:val="2BDB3422"/>
    <w:rsid w:val="2BDF4913"/>
    <w:rsid w:val="2BF77E95"/>
    <w:rsid w:val="2BF94C03"/>
    <w:rsid w:val="2BFA2D07"/>
    <w:rsid w:val="2C4A52A8"/>
    <w:rsid w:val="2C5E3727"/>
    <w:rsid w:val="2C6029D3"/>
    <w:rsid w:val="2C6953E0"/>
    <w:rsid w:val="2C7F3AC3"/>
    <w:rsid w:val="2C981A73"/>
    <w:rsid w:val="2CA1068F"/>
    <w:rsid w:val="2CA96B94"/>
    <w:rsid w:val="2CC733D4"/>
    <w:rsid w:val="2CEF1368"/>
    <w:rsid w:val="2D003307"/>
    <w:rsid w:val="2D007927"/>
    <w:rsid w:val="2D0C15E0"/>
    <w:rsid w:val="2D1E4FBA"/>
    <w:rsid w:val="2D2140D4"/>
    <w:rsid w:val="2D2855DC"/>
    <w:rsid w:val="2D4D471C"/>
    <w:rsid w:val="2D4F527C"/>
    <w:rsid w:val="2D637E61"/>
    <w:rsid w:val="2D6C3567"/>
    <w:rsid w:val="2D9828F0"/>
    <w:rsid w:val="2DA17515"/>
    <w:rsid w:val="2DC75777"/>
    <w:rsid w:val="2DE865BD"/>
    <w:rsid w:val="2DFB1A06"/>
    <w:rsid w:val="2E092C11"/>
    <w:rsid w:val="2E1F0139"/>
    <w:rsid w:val="2E330E8B"/>
    <w:rsid w:val="2E3527A8"/>
    <w:rsid w:val="2E441166"/>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7E4C7E"/>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1B58E1"/>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877CC"/>
    <w:rsid w:val="35CB4149"/>
    <w:rsid w:val="35CF7FA2"/>
    <w:rsid w:val="35E426C4"/>
    <w:rsid w:val="35EC0EA5"/>
    <w:rsid w:val="361B5C32"/>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E41079"/>
    <w:rsid w:val="37FF11B2"/>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5648D"/>
    <w:rsid w:val="3A38627D"/>
    <w:rsid w:val="3A397D3B"/>
    <w:rsid w:val="3A3F482E"/>
    <w:rsid w:val="3A4253F4"/>
    <w:rsid w:val="3A456D61"/>
    <w:rsid w:val="3A6029F6"/>
    <w:rsid w:val="3A802A65"/>
    <w:rsid w:val="3A8424AE"/>
    <w:rsid w:val="3A8B1BB3"/>
    <w:rsid w:val="3A8E5147"/>
    <w:rsid w:val="3AA15361"/>
    <w:rsid w:val="3AA84305"/>
    <w:rsid w:val="3AB15864"/>
    <w:rsid w:val="3AB5351D"/>
    <w:rsid w:val="3AC0379E"/>
    <w:rsid w:val="3AE65525"/>
    <w:rsid w:val="3AEC6BC0"/>
    <w:rsid w:val="3B011CF4"/>
    <w:rsid w:val="3B0479B7"/>
    <w:rsid w:val="3B247E7A"/>
    <w:rsid w:val="3B3301EA"/>
    <w:rsid w:val="3B4B4AC1"/>
    <w:rsid w:val="3B6564B7"/>
    <w:rsid w:val="3B6A3A42"/>
    <w:rsid w:val="3B6F700F"/>
    <w:rsid w:val="3B7B164F"/>
    <w:rsid w:val="3B9038F5"/>
    <w:rsid w:val="3B943330"/>
    <w:rsid w:val="3BB53769"/>
    <w:rsid w:val="3BB80A6D"/>
    <w:rsid w:val="3BBE1F69"/>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B30E49"/>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A33B9"/>
    <w:rsid w:val="40ED002C"/>
    <w:rsid w:val="40F32376"/>
    <w:rsid w:val="40FA1D61"/>
    <w:rsid w:val="41113B6A"/>
    <w:rsid w:val="41127DB3"/>
    <w:rsid w:val="411A46AB"/>
    <w:rsid w:val="414973D7"/>
    <w:rsid w:val="419E6C98"/>
    <w:rsid w:val="419F151D"/>
    <w:rsid w:val="41AD0E17"/>
    <w:rsid w:val="41AE028F"/>
    <w:rsid w:val="41B00132"/>
    <w:rsid w:val="41B13228"/>
    <w:rsid w:val="41BE213B"/>
    <w:rsid w:val="41C10448"/>
    <w:rsid w:val="41C14536"/>
    <w:rsid w:val="41D20C2A"/>
    <w:rsid w:val="41DE0DD8"/>
    <w:rsid w:val="41E131C3"/>
    <w:rsid w:val="41EE56AE"/>
    <w:rsid w:val="41F40239"/>
    <w:rsid w:val="41FB6A2C"/>
    <w:rsid w:val="42021B25"/>
    <w:rsid w:val="420C193E"/>
    <w:rsid w:val="42164FAF"/>
    <w:rsid w:val="42332CF4"/>
    <w:rsid w:val="42374460"/>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287454"/>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516EF"/>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5502B"/>
    <w:rsid w:val="473A324F"/>
    <w:rsid w:val="4743147C"/>
    <w:rsid w:val="4750010D"/>
    <w:rsid w:val="475A5D5F"/>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1021C"/>
    <w:rsid w:val="49182F5B"/>
    <w:rsid w:val="49244CE0"/>
    <w:rsid w:val="49286A31"/>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500C6"/>
    <w:rsid w:val="4ECE580B"/>
    <w:rsid w:val="4ED504C2"/>
    <w:rsid w:val="4EF26455"/>
    <w:rsid w:val="4F02252E"/>
    <w:rsid w:val="4F0F56E7"/>
    <w:rsid w:val="4F27708F"/>
    <w:rsid w:val="4F2F6D25"/>
    <w:rsid w:val="4F33454E"/>
    <w:rsid w:val="4F4218AA"/>
    <w:rsid w:val="4F524A77"/>
    <w:rsid w:val="4F5678A9"/>
    <w:rsid w:val="4F6114B3"/>
    <w:rsid w:val="4F6158FC"/>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34751"/>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5C3B86"/>
    <w:rsid w:val="5166594C"/>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335356"/>
    <w:rsid w:val="524D331D"/>
    <w:rsid w:val="524E26CC"/>
    <w:rsid w:val="52544F39"/>
    <w:rsid w:val="52627AA4"/>
    <w:rsid w:val="527626EE"/>
    <w:rsid w:val="52794045"/>
    <w:rsid w:val="528018AB"/>
    <w:rsid w:val="52A07A4D"/>
    <w:rsid w:val="52A672BE"/>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64638"/>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1859"/>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6F384E"/>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463A73"/>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31134"/>
    <w:rsid w:val="598D1777"/>
    <w:rsid w:val="59906DE9"/>
    <w:rsid w:val="59D43EA9"/>
    <w:rsid w:val="59E769D4"/>
    <w:rsid w:val="59ED6F0F"/>
    <w:rsid w:val="59F84F1F"/>
    <w:rsid w:val="5A026EE9"/>
    <w:rsid w:val="5A041D3E"/>
    <w:rsid w:val="5A0F70BD"/>
    <w:rsid w:val="5A1B5FA4"/>
    <w:rsid w:val="5A1D552F"/>
    <w:rsid w:val="5A1E7634"/>
    <w:rsid w:val="5A4011EC"/>
    <w:rsid w:val="5A53727B"/>
    <w:rsid w:val="5A6A6D53"/>
    <w:rsid w:val="5A6E27C4"/>
    <w:rsid w:val="5A6E3224"/>
    <w:rsid w:val="5A73314D"/>
    <w:rsid w:val="5A7E71C1"/>
    <w:rsid w:val="5A8F5DFF"/>
    <w:rsid w:val="5AA51B82"/>
    <w:rsid w:val="5ABF0171"/>
    <w:rsid w:val="5AC67CFE"/>
    <w:rsid w:val="5AE130FF"/>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8A0A2B"/>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4754E"/>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B50D0"/>
    <w:rsid w:val="64DE180C"/>
    <w:rsid w:val="64E200DF"/>
    <w:rsid w:val="64E82C1E"/>
    <w:rsid w:val="64EE6C4C"/>
    <w:rsid w:val="64F222DB"/>
    <w:rsid w:val="650D5A50"/>
    <w:rsid w:val="65502950"/>
    <w:rsid w:val="6551495B"/>
    <w:rsid w:val="655B0746"/>
    <w:rsid w:val="655B7A5A"/>
    <w:rsid w:val="655F405B"/>
    <w:rsid w:val="656958A2"/>
    <w:rsid w:val="656A4BC3"/>
    <w:rsid w:val="656A4FDD"/>
    <w:rsid w:val="657C41E0"/>
    <w:rsid w:val="65820642"/>
    <w:rsid w:val="6591468C"/>
    <w:rsid w:val="65BF1AA0"/>
    <w:rsid w:val="65C92458"/>
    <w:rsid w:val="65CA5E9F"/>
    <w:rsid w:val="65E321E2"/>
    <w:rsid w:val="65F57688"/>
    <w:rsid w:val="65F8728B"/>
    <w:rsid w:val="661338CD"/>
    <w:rsid w:val="66167CD1"/>
    <w:rsid w:val="66257927"/>
    <w:rsid w:val="66474A79"/>
    <w:rsid w:val="66531701"/>
    <w:rsid w:val="666D15E0"/>
    <w:rsid w:val="66782C9E"/>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3A1DCE"/>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8799C"/>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1F155BE"/>
    <w:rsid w:val="720040E9"/>
    <w:rsid w:val="720B6DA8"/>
    <w:rsid w:val="72117B8C"/>
    <w:rsid w:val="721F3D0A"/>
    <w:rsid w:val="72310BD0"/>
    <w:rsid w:val="7258546A"/>
    <w:rsid w:val="725D40AA"/>
    <w:rsid w:val="725F5F58"/>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A47F47"/>
    <w:rsid w:val="77B135B8"/>
    <w:rsid w:val="77B165CE"/>
    <w:rsid w:val="77B36903"/>
    <w:rsid w:val="77C93714"/>
    <w:rsid w:val="77DF3B70"/>
    <w:rsid w:val="77E30227"/>
    <w:rsid w:val="77F04EBB"/>
    <w:rsid w:val="77F61AB4"/>
    <w:rsid w:val="78005007"/>
    <w:rsid w:val="780A7418"/>
    <w:rsid w:val="781A0DC9"/>
    <w:rsid w:val="784F6C52"/>
    <w:rsid w:val="78516D75"/>
    <w:rsid w:val="78657D62"/>
    <w:rsid w:val="78663B87"/>
    <w:rsid w:val="78724FE4"/>
    <w:rsid w:val="78783D89"/>
    <w:rsid w:val="788659DF"/>
    <w:rsid w:val="78874305"/>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F0FFD"/>
    <w:rsid w:val="795C4945"/>
    <w:rsid w:val="7961496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21413"/>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3053C4"/>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DA7673"/>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2023-11-03T06:13:16Z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72A70C61FA3E4882A514DD0E0B31EF8E</vt:lpwstr>
  </property>
</Properties>
</file>